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112A" w14:textId="77777777" w:rsidR="00876DEC" w:rsidRDefault="00B87CF6">
      <w:r>
        <w:rPr>
          <w:rFonts w:hint="eastAsia"/>
        </w:rPr>
        <w:t xml:space="preserve"> </w:t>
      </w:r>
    </w:p>
    <w:p w14:paraId="06AE6E46" w14:textId="752FE4C8" w:rsidR="00876DEC" w:rsidRDefault="006A7B89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 w:rsidRPr="00AC44B3">
        <w:rPr>
          <w:rFonts w:ascii="Times New Roman" w:eastAsia="宋体" w:hAnsi="Times New Roman" w:cs="Times New Roman"/>
          <w:b/>
          <w:bCs/>
          <w:sz w:val="30"/>
          <w:szCs w:val="30"/>
        </w:rPr>
        <w:t>WK-I</w:t>
      </w:r>
      <w:r w:rsidRPr="00AC44B3">
        <w:rPr>
          <w:rFonts w:ascii="Times New Roman" w:eastAsia="宋体" w:hAnsi="Times New Roman" w:cs="Times New Roman"/>
          <w:b/>
          <w:bCs/>
          <w:sz w:val="30"/>
          <w:szCs w:val="30"/>
        </w:rPr>
        <w:t>型</w:t>
      </w:r>
      <w:r w:rsidR="00545AC7" w:rsidRPr="00AC44B3">
        <w:rPr>
          <w:rFonts w:ascii="Times New Roman" w:eastAsia="宋体" w:hAnsi="Times New Roman" w:cs="Times New Roman"/>
          <w:b/>
          <w:bCs/>
          <w:sz w:val="30"/>
          <w:szCs w:val="30"/>
        </w:rPr>
        <w:t>非自耗真</w:t>
      </w:r>
      <w:r w:rsidR="00545AC7">
        <w:rPr>
          <w:rFonts w:ascii="宋体" w:eastAsia="宋体" w:hAnsi="宋体" w:cs="宋体" w:hint="eastAsia"/>
          <w:b/>
          <w:bCs/>
          <w:sz w:val="30"/>
          <w:szCs w:val="30"/>
        </w:rPr>
        <w:t>空电弧</w:t>
      </w:r>
      <w:r w:rsidR="00D2280B">
        <w:rPr>
          <w:rFonts w:ascii="宋体" w:eastAsia="宋体" w:hAnsi="宋体" w:cs="宋体" w:hint="eastAsia"/>
          <w:b/>
          <w:bCs/>
          <w:sz w:val="30"/>
          <w:szCs w:val="30"/>
        </w:rPr>
        <w:t>熔炼</w:t>
      </w:r>
      <w:r w:rsidR="00545AC7">
        <w:rPr>
          <w:rFonts w:ascii="宋体" w:eastAsia="宋体" w:hAnsi="宋体" w:cs="宋体" w:hint="eastAsia"/>
          <w:b/>
          <w:bCs/>
          <w:sz w:val="30"/>
          <w:szCs w:val="30"/>
        </w:rPr>
        <w:t>炉</w:t>
      </w:r>
    </w:p>
    <w:p w14:paraId="6CC92A33" w14:textId="77777777" w:rsidR="00876DEC" w:rsidRDefault="00876DEC"/>
    <w:tbl>
      <w:tblPr>
        <w:tblStyle w:val="a5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407"/>
        <w:gridCol w:w="2577"/>
        <w:gridCol w:w="4491"/>
      </w:tblGrid>
      <w:tr w:rsidR="00876DEC" w14:paraId="0C49E3F8" w14:textId="77777777" w:rsidTr="003B0286">
        <w:trPr>
          <w:trHeight w:val="803"/>
        </w:trPr>
        <w:tc>
          <w:tcPr>
            <w:tcW w:w="1407" w:type="dxa"/>
            <w:vAlign w:val="center"/>
          </w:tcPr>
          <w:p w14:paraId="7C64DE42" w14:textId="77777777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577" w:type="dxa"/>
            <w:vAlign w:val="center"/>
          </w:tcPr>
          <w:p w14:paraId="44AF945F" w14:textId="43AB1D65" w:rsidR="00876DEC" w:rsidRDefault="00A8789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WK-I</w:t>
            </w:r>
          </w:p>
        </w:tc>
        <w:tc>
          <w:tcPr>
            <w:tcW w:w="4491" w:type="dxa"/>
            <w:vMerge w:val="restart"/>
            <w:vAlign w:val="center"/>
          </w:tcPr>
          <w:p w14:paraId="1EDBC6DF" w14:textId="77777777" w:rsidR="00876DEC" w:rsidRDefault="00B87C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373EEF96" wp14:editId="559989E9">
                  <wp:extent cx="2714625" cy="22002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1" r="3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921FD" w14:textId="77777777" w:rsidR="00876DEC" w:rsidRDefault="00876D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6DEC" w14:paraId="7BAFA326" w14:textId="77777777" w:rsidTr="003B0286">
        <w:trPr>
          <w:trHeight w:val="803"/>
        </w:trPr>
        <w:tc>
          <w:tcPr>
            <w:tcW w:w="1407" w:type="dxa"/>
            <w:vAlign w:val="center"/>
          </w:tcPr>
          <w:p w14:paraId="09BB5AB8" w14:textId="77777777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577" w:type="dxa"/>
            <w:vAlign w:val="center"/>
          </w:tcPr>
          <w:p w14:paraId="7393EC1A" w14:textId="77777777" w:rsidR="00876DEC" w:rsidRDefault="00B87C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491" w:type="dxa"/>
            <w:vMerge/>
            <w:vAlign w:val="center"/>
          </w:tcPr>
          <w:p w14:paraId="0CD5A88B" w14:textId="77777777" w:rsidR="00876DEC" w:rsidRDefault="00876D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6DEC" w14:paraId="608EB493" w14:textId="77777777" w:rsidTr="003B0286">
        <w:trPr>
          <w:trHeight w:val="803"/>
        </w:trPr>
        <w:tc>
          <w:tcPr>
            <w:tcW w:w="1407" w:type="dxa"/>
            <w:vAlign w:val="center"/>
          </w:tcPr>
          <w:p w14:paraId="4DB8A2FA" w14:textId="77777777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2577" w:type="dxa"/>
            <w:vAlign w:val="center"/>
          </w:tcPr>
          <w:p w14:paraId="3F513DD7" w14:textId="72E9D3E3" w:rsidR="00876DEC" w:rsidRDefault="00B87CF6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C</w:t>
            </w:r>
            <w:r w:rsidR="00A87898">
              <w:rPr>
                <w:rFonts w:ascii="Times New Roman" w:eastAsia="宋体" w:hAnsi="Times New Roman" w:cs="Times New Roman" w:hint="eastAsia"/>
                <w:sz w:val="24"/>
              </w:rPr>
              <w:t>102</w:t>
            </w:r>
          </w:p>
        </w:tc>
        <w:tc>
          <w:tcPr>
            <w:tcW w:w="4491" w:type="dxa"/>
            <w:vMerge/>
            <w:vAlign w:val="center"/>
          </w:tcPr>
          <w:p w14:paraId="2ABE45F6" w14:textId="77777777" w:rsidR="00876DEC" w:rsidRDefault="00876DEC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6DEC" w14:paraId="37F6AA4B" w14:textId="77777777" w:rsidTr="003B0286">
        <w:trPr>
          <w:trHeight w:val="803"/>
        </w:trPr>
        <w:tc>
          <w:tcPr>
            <w:tcW w:w="1407" w:type="dxa"/>
            <w:vAlign w:val="center"/>
          </w:tcPr>
          <w:p w14:paraId="5DB24CCF" w14:textId="77777777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主要用途</w:t>
            </w:r>
          </w:p>
        </w:tc>
        <w:tc>
          <w:tcPr>
            <w:tcW w:w="2577" w:type="dxa"/>
            <w:vAlign w:val="center"/>
          </w:tcPr>
          <w:p w14:paraId="1C398023" w14:textId="5FFF29FB" w:rsidR="00876DEC" w:rsidRDefault="00A87898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熔炼各种金属和合金</w:t>
            </w:r>
          </w:p>
        </w:tc>
        <w:tc>
          <w:tcPr>
            <w:tcW w:w="4491" w:type="dxa"/>
            <w:vMerge/>
            <w:vAlign w:val="center"/>
          </w:tcPr>
          <w:p w14:paraId="64F57782" w14:textId="77777777" w:rsidR="00876DEC" w:rsidRDefault="00876DEC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6DEC" w14:paraId="371D36BA" w14:textId="77777777" w:rsidTr="003B0286">
        <w:trPr>
          <w:trHeight w:val="804"/>
        </w:trPr>
        <w:tc>
          <w:tcPr>
            <w:tcW w:w="1407" w:type="dxa"/>
            <w:vAlign w:val="center"/>
          </w:tcPr>
          <w:p w14:paraId="0CEFC096" w14:textId="77777777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577" w:type="dxa"/>
            <w:vAlign w:val="center"/>
          </w:tcPr>
          <w:p w14:paraId="64BBFCF4" w14:textId="60319F7E" w:rsidR="00876DEC" w:rsidRDefault="003B0286">
            <w:pPr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兰新月</w:t>
            </w:r>
            <w:proofErr w:type="gramEnd"/>
          </w:p>
        </w:tc>
        <w:tc>
          <w:tcPr>
            <w:tcW w:w="4491" w:type="dxa"/>
            <w:vMerge/>
            <w:vAlign w:val="center"/>
          </w:tcPr>
          <w:p w14:paraId="1AE3FAE7" w14:textId="77777777" w:rsidR="00876DEC" w:rsidRDefault="00876D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76DEC" w14:paraId="0C5E19B2" w14:textId="77777777" w:rsidTr="003B0286">
        <w:trPr>
          <w:trHeight w:val="2162"/>
        </w:trPr>
        <w:tc>
          <w:tcPr>
            <w:tcW w:w="1407" w:type="dxa"/>
            <w:vAlign w:val="center"/>
          </w:tcPr>
          <w:p w14:paraId="281C852A" w14:textId="39E33467" w:rsidR="00876DEC" w:rsidRDefault="00B87CF6" w:rsidP="00465718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</w:tc>
        <w:tc>
          <w:tcPr>
            <w:tcW w:w="7068" w:type="dxa"/>
            <w:gridSpan w:val="2"/>
            <w:vAlign w:val="center"/>
          </w:tcPr>
          <w:p w14:paraId="692D5D38" w14:textId="3ED1333B" w:rsidR="00A35FE7" w:rsidRPr="00A35FE7" w:rsidRDefault="00A87898" w:rsidP="00763FA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TimesNewRomanPSMT" w:eastAsia="宋体" w:hAnsi="TimesNewRomanPSMT" w:cs="TimesNewRomanPSMT"/>
                <w:kern w:val="0"/>
                <w:sz w:val="24"/>
              </w:rPr>
            </w:pPr>
            <w:r>
              <w:rPr>
                <w:rFonts w:ascii="TimesNewRomanPSMT" w:eastAsia="宋体" w:hAnsi="TimesNewRomanPSMT" w:cs="TimesNewRomanPSMT"/>
                <w:kern w:val="0"/>
                <w:sz w:val="24"/>
              </w:rPr>
              <w:t>WK-I</w:t>
            </w:r>
            <w:r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型非自耗真空电弧</w:t>
            </w:r>
            <w:r w:rsidR="001F2515"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熔炼</w:t>
            </w:r>
            <w:r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炉是在高纯</w:t>
            </w:r>
            <w:r w:rsidR="00A35FE7"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氩</w:t>
            </w:r>
            <w:r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气保护条件下熔炼各种高熔点金属的专用设备。主要特点是熔炼温度高、含氧量低、</w:t>
            </w:r>
            <w:r w:rsidR="00F17278"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杂质</w:t>
            </w:r>
            <w:r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少</w:t>
            </w:r>
            <w:r w:rsidR="00A35FE7"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。该设备具有功率大、性能稳定、真空度高、使用操作方便等优点。</w:t>
            </w:r>
          </w:p>
        </w:tc>
      </w:tr>
      <w:tr w:rsidR="00876DEC" w14:paraId="6C7E1D44" w14:textId="77777777" w:rsidTr="003B0286">
        <w:trPr>
          <w:trHeight w:val="1771"/>
        </w:trPr>
        <w:tc>
          <w:tcPr>
            <w:tcW w:w="1407" w:type="dxa"/>
            <w:vAlign w:val="center"/>
          </w:tcPr>
          <w:p w14:paraId="110C67CE" w14:textId="77777777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7068" w:type="dxa"/>
            <w:gridSpan w:val="2"/>
            <w:vAlign w:val="center"/>
          </w:tcPr>
          <w:p w14:paraId="23F70EC6" w14:textId="09F8374C" w:rsidR="00876DEC" w:rsidRDefault="00A35FE7" w:rsidP="00763F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NewRomanPSMT" w:eastAsia="宋体" w:hAnsi="TimesNewRomanPSMT" w:cs="TimesNewRomanPSMT"/>
                <w:kern w:val="0"/>
                <w:sz w:val="24"/>
              </w:rPr>
              <w:t>WK-I</w:t>
            </w:r>
            <w:r>
              <w:rPr>
                <w:rFonts w:ascii="TimesNewRomanPSMT" w:eastAsia="宋体" w:hAnsi="TimesNewRomanPSMT" w:cs="TimesNewRomanPSMT" w:hint="eastAsia"/>
                <w:kern w:val="0"/>
                <w:sz w:val="24"/>
              </w:rPr>
              <w:t>型</w:t>
            </w:r>
            <w:r w:rsidR="00B87CF6"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熔炼金属样品</w:t>
            </w:r>
            <w:r w:rsidR="00B87CF6">
              <w:rPr>
                <w:rFonts w:ascii="Times New Roman" w:eastAsia="宋体" w:hAnsi="Times New Roman" w:cs="Times New Roman" w:hint="eastAsia"/>
                <w:sz w:val="24"/>
              </w:rPr>
              <w:t>中的应用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14:paraId="57FE799A" w14:textId="78647DA8" w:rsidR="00876DEC" w:rsidRDefault="00B87CF6" w:rsidP="00763F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．</w:t>
            </w:r>
            <w:r w:rsidR="00A35FE7">
              <w:rPr>
                <w:rFonts w:ascii="Times New Roman" w:eastAsia="宋体" w:hAnsi="Times New Roman" w:cs="Times New Roman" w:hint="eastAsia"/>
                <w:sz w:val="24"/>
              </w:rPr>
              <w:t>易氧化合金的样品制备；</w:t>
            </w:r>
          </w:p>
          <w:p w14:paraId="588BE136" w14:textId="4235897F" w:rsidR="00876DEC" w:rsidRDefault="00B87CF6" w:rsidP="00763F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．</w:t>
            </w:r>
            <w:r w:rsidR="00A35FE7">
              <w:rPr>
                <w:rFonts w:ascii="Times New Roman" w:eastAsia="宋体" w:hAnsi="Times New Roman" w:cs="Times New Roman" w:hint="eastAsia"/>
                <w:sz w:val="24"/>
              </w:rPr>
              <w:t>相图热力学领域的样品制备；</w:t>
            </w:r>
          </w:p>
          <w:p w14:paraId="094BAD69" w14:textId="1AE8A388" w:rsidR="00876DEC" w:rsidRDefault="00B87CF6" w:rsidP="00763F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3.  </w:t>
            </w:r>
            <w:r w:rsidR="00A35FE7">
              <w:rPr>
                <w:rFonts w:ascii="Times New Roman" w:eastAsia="宋体" w:hAnsi="Times New Roman" w:cs="Times New Roman" w:hint="eastAsia"/>
                <w:sz w:val="24"/>
              </w:rPr>
              <w:t>金属</w:t>
            </w:r>
            <w:proofErr w:type="gramStart"/>
            <w:r w:rsidR="00A35FE7">
              <w:rPr>
                <w:rFonts w:ascii="Times New Roman" w:eastAsia="宋体" w:hAnsi="Times New Roman" w:cs="Times New Roman" w:hint="eastAsia"/>
                <w:sz w:val="24"/>
              </w:rPr>
              <w:t>铸态组织</w:t>
            </w:r>
            <w:proofErr w:type="gramEnd"/>
            <w:r w:rsidR="00A35FE7">
              <w:rPr>
                <w:rFonts w:ascii="Times New Roman" w:eastAsia="宋体" w:hAnsi="Times New Roman" w:cs="Times New Roman" w:hint="eastAsia"/>
                <w:sz w:val="24"/>
              </w:rPr>
              <w:t>的样品制备；</w:t>
            </w:r>
          </w:p>
          <w:p w14:paraId="374851FD" w14:textId="69D65C70" w:rsidR="00876DEC" w:rsidRDefault="00B87CF6" w:rsidP="00763F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4.  </w:t>
            </w:r>
            <w:r w:rsidR="00A35FE7">
              <w:rPr>
                <w:rFonts w:ascii="Times New Roman" w:eastAsia="宋体" w:hAnsi="Times New Roman" w:cs="Times New Roman" w:hint="eastAsia"/>
                <w:sz w:val="24"/>
              </w:rPr>
              <w:t>金属各类物性研究的样品制备。</w:t>
            </w:r>
          </w:p>
        </w:tc>
      </w:tr>
      <w:tr w:rsidR="00876DEC" w14:paraId="263652F7" w14:textId="77777777" w:rsidTr="003B0286">
        <w:trPr>
          <w:trHeight w:val="2082"/>
        </w:trPr>
        <w:tc>
          <w:tcPr>
            <w:tcW w:w="1407" w:type="dxa"/>
            <w:vAlign w:val="center"/>
          </w:tcPr>
          <w:p w14:paraId="3D35A90C" w14:textId="09270B25" w:rsidR="00876DEC" w:rsidRDefault="00B87CF6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</w:p>
          <w:p w14:paraId="4EA30833" w14:textId="77777777" w:rsidR="00876DEC" w:rsidRDefault="00876DE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7068" w:type="dxa"/>
            <w:gridSpan w:val="2"/>
            <w:vAlign w:val="center"/>
          </w:tcPr>
          <w:p w14:paraId="0C49E731" w14:textId="40F718B9" w:rsidR="00876DEC" w:rsidRPr="00465718" w:rsidRDefault="00763FAA" w:rsidP="00465718">
            <w:pPr>
              <w:spacing w:line="360" w:lineRule="auto"/>
              <w:ind w:firstLineChars="175" w:firstLine="420"/>
              <w:rPr>
                <w:rFonts w:ascii="Times New Roman" w:eastAsia="宋体" w:hAnsi="Times New Roman" w:cs="Times New Roman"/>
                <w:sz w:val="24"/>
              </w:rPr>
            </w:pPr>
            <w:r w:rsidRPr="00465718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465718"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 w:rsidR="00A35FE7" w:rsidRPr="00465718">
              <w:rPr>
                <w:rFonts w:ascii="Times New Roman" w:eastAsia="宋体" w:hAnsi="Times New Roman" w:cs="Times New Roman" w:hint="eastAsia"/>
                <w:sz w:val="24"/>
              </w:rPr>
              <w:t>容量（样品重量）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10~20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克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每熔池，共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个熔池</w:t>
            </w:r>
          </w:p>
          <w:p w14:paraId="15C26071" w14:textId="097E50F8" w:rsidR="00924B60" w:rsidRPr="00465718" w:rsidRDefault="00763FAA" w:rsidP="00465718">
            <w:pPr>
              <w:spacing w:line="360" w:lineRule="auto"/>
              <w:ind w:firstLineChars="175" w:firstLine="420"/>
              <w:rPr>
                <w:rFonts w:ascii="Times New Roman" w:eastAsia="宋体" w:hAnsi="Times New Roman" w:cs="Times New Roman"/>
                <w:sz w:val="24"/>
              </w:rPr>
            </w:pPr>
            <w:r w:rsidRPr="00465718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465718"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 w:rsidR="00924B60" w:rsidRPr="00465718">
              <w:rPr>
                <w:rFonts w:ascii="Times New Roman" w:eastAsia="宋体" w:hAnsi="Times New Roman" w:cs="Times New Roman" w:hint="eastAsia"/>
                <w:sz w:val="24"/>
              </w:rPr>
              <w:t>真空度：</w:t>
            </w:r>
            <w:r w:rsidR="00924B60" w:rsidRPr="00465718">
              <w:rPr>
                <w:rFonts w:ascii="Times New Roman" w:eastAsia="宋体" w:hAnsi="Times New Roman" w:cs="Times New Roman"/>
                <w:sz w:val="24"/>
              </w:rPr>
              <w:t>5</w:t>
            </w:r>
            <w:r w:rsidR="00545AC7" w:rsidRPr="00465718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sym w:font="Symbol" w:char="F0B4"/>
            </w:r>
            <w:r w:rsidR="00545AC7" w:rsidRPr="00465718">
              <w:rPr>
                <w:rFonts w:ascii="Times New Roman" w:eastAsia="宋体" w:hAnsi="Times New Roman" w:cs="Times New Roman"/>
                <w:sz w:val="24"/>
              </w:rPr>
              <w:t xml:space="preserve"> 10</w:t>
            </w:r>
            <w:r w:rsidR="00545AC7" w:rsidRPr="00465718">
              <w:rPr>
                <w:rFonts w:ascii="Times New Roman" w:eastAsia="宋体" w:hAnsi="Times New Roman" w:cs="Times New Roman"/>
                <w:sz w:val="24"/>
                <w:vertAlign w:val="superscript"/>
              </w:rPr>
              <w:t>-4</w:t>
            </w:r>
            <w:r w:rsidR="00545AC7" w:rsidRPr="00465718">
              <w:rPr>
                <w:rFonts w:ascii="Times New Roman" w:eastAsia="宋体" w:hAnsi="Times New Roman" w:cs="Times New Roman"/>
                <w:sz w:val="24"/>
                <w:vertAlign w:val="subscript"/>
              </w:rPr>
              <w:t xml:space="preserve"> </w:t>
            </w:r>
            <w:r w:rsidR="00545AC7" w:rsidRPr="00465718">
              <w:rPr>
                <w:rFonts w:ascii="Times New Roman" w:eastAsia="宋体" w:hAnsi="Times New Roman" w:cs="Times New Roman" w:hint="eastAsia"/>
                <w:sz w:val="24"/>
              </w:rPr>
              <w:t>（分子泵）</w:t>
            </w:r>
          </w:p>
          <w:p w14:paraId="516AA286" w14:textId="50FDFCAD" w:rsidR="00545AC7" w:rsidRPr="00465718" w:rsidRDefault="00763FAA" w:rsidP="00465718">
            <w:pPr>
              <w:spacing w:line="360" w:lineRule="auto"/>
              <w:ind w:firstLineChars="175" w:firstLine="420"/>
              <w:rPr>
                <w:rFonts w:ascii="Times New Roman" w:eastAsia="宋体" w:hAnsi="Times New Roman" w:cs="Times New Roman"/>
                <w:sz w:val="24"/>
              </w:rPr>
            </w:pPr>
            <w:r w:rsidRPr="00465718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465718"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 w:rsidR="00545AC7" w:rsidRPr="00465718">
              <w:rPr>
                <w:rFonts w:ascii="Times New Roman" w:eastAsia="宋体" w:hAnsi="Times New Roman" w:cs="Times New Roman" w:hint="eastAsia"/>
                <w:sz w:val="24"/>
              </w:rPr>
              <w:t>起弧方式：接触引弧</w:t>
            </w:r>
          </w:p>
          <w:p w14:paraId="507B6F10" w14:textId="138F09A8" w:rsidR="00545AC7" w:rsidRPr="00465718" w:rsidRDefault="00763FAA" w:rsidP="00465718">
            <w:pPr>
              <w:spacing w:line="360" w:lineRule="auto"/>
              <w:ind w:firstLineChars="175" w:firstLine="420"/>
              <w:rPr>
                <w:rFonts w:ascii="Times New Roman" w:eastAsia="宋体" w:hAnsi="Times New Roman" w:cs="Times New Roman"/>
                <w:sz w:val="24"/>
              </w:rPr>
            </w:pPr>
            <w:r w:rsidRPr="00465718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465718"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 w:rsidR="00545AC7" w:rsidRPr="00465718">
              <w:rPr>
                <w:rFonts w:ascii="Times New Roman" w:eastAsia="宋体" w:hAnsi="Times New Roman" w:cs="Times New Roman" w:hint="eastAsia"/>
                <w:sz w:val="24"/>
              </w:rPr>
              <w:t>搅拌方式：手动</w:t>
            </w:r>
          </w:p>
          <w:p w14:paraId="2BB05194" w14:textId="0691C7F3" w:rsidR="00545AC7" w:rsidRPr="00465718" w:rsidRDefault="00763FAA" w:rsidP="00465718">
            <w:pPr>
              <w:spacing w:line="360" w:lineRule="auto"/>
              <w:ind w:firstLineChars="175" w:firstLine="420"/>
              <w:rPr>
                <w:rFonts w:ascii="Times New Roman" w:eastAsia="宋体" w:hAnsi="Times New Roman" w:cs="Times New Roman"/>
                <w:sz w:val="24"/>
              </w:rPr>
            </w:pPr>
            <w:r w:rsidRPr="00465718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465718"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 w:rsidR="00545AC7" w:rsidRPr="00465718">
              <w:rPr>
                <w:rFonts w:ascii="Times New Roman" w:eastAsia="宋体" w:hAnsi="Times New Roman" w:cs="Times New Roman" w:hint="eastAsia"/>
                <w:sz w:val="24"/>
              </w:rPr>
              <w:t>电源最大电流：</w:t>
            </w:r>
            <w:r w:rsidR="00545AC7" w:rsidRPr="00465718">
              <w:rPr>
                <w:rFonts w:ascii="Times New Roman" w:eastAsia="宋体" w:hAnsi="Times New Roman" w:cs="Times New Roman" w:hint="eastAsia"/>
                <w:sz w:val="24"/>
              </w:rPr>
              <w:t>350</w:t>
            </w:r>
            <w:r w:rsidR="00545AC7" w:rsidRPr="00465718">
              <w:rPr>
                <w:rFonts w:ascii="Times New Roman" w:eastAsia="宋体" w:hAnsi="Times New Roman" w:cs="Times New Roman"/>
                <w:sz w:val="24"/>
              </w:rPr>
              <w:t xml:space="preserve"> A</w:t>
            </w:r>
          </w:p>
        </w:tc>
      </w:tr>
    </w:tbl>
    <w:p w14:paraId="0D198A0D" w14:textId="77777777" w:rsidR="00876DEC" w:rsidRDefault="00876DEC"/>
    <w:p w14:paraId="27D1D0AB" w14:textId="6AC096F6" w:rsidR="00876DEC" w:rsidRDefault="00876DEC">
      <w:bookmarkStart w:id="0" w:name="_GoBack"/>
      <w:bookmarkEnd w:id="0"/>
    </w:p>
    <w:sectPr w:rsidR="0087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560F1"/>
    <w:multiLevelType w:val="hybridMultilevel"/>
    <w:tmpl w:val="DC6A47C4"/>
    <w:lvl w:ilvl="0" w:tplc="C142AB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AE6FF2"/>
    <w:rsid w:val="001F2515"/>
    <w:rsid w:val="003068D6"/>
    <w:rsid w:val="003B0286"/>
    <w:rsid w:val="00465718"/>
    <w:rsid w:val="00545AC7"/>
    <w:rsid w:val="006A7B89"/>
    <w:rsid w:val="00763FAA"/>
    <w:rsid w:val="00876DEC"/>
    <w:rsid w:val="00924B60"/>
    <w:rsid w:val="00A35FE7"/>
    <w:rsid w:val="00A87898"/>
    <w:rsid w:val="00AC44B3"/>
    <w:rsid w:val="00B87CF6"/>
    <w:rsid w:val="00BE5FED"/>
    <w:rsid w:val="00CF0125"/>
    <w:rsid w:val="00D2280B"/>
    <w:rsid w:val="00E06E25"/>
    <w:rsid w:val="00F17278"/>
    <w:rsid w:val="021722E1"/>
    <w:rsid w:val="03536CF8"/>
    <w:rsid w:val="03D23A40"/>
    <w:rsid w:val="07A937F3"/>
    <w:rsid w:val="0C98509F"/>
    <w:rsid w:val="120A5D85"/>
    <w:rsid w:val="1CD24B11"/>
    <w:rsid w:val="1DAE6FF2"/>
    <w:rsid w:val="231B1D7E"/>
    <w:rsid w:val="313551DE"/>
    <w:rsid w:val="5BD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5608"/>
  <w15:docId w15:val="{FA7C1410-0069-44D4-A1C2-C6A4AAD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924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11</cp:revision>
  <dcterms:created xsi:type="dcterms:W3CDTF">2022-04-12T11:57:00Z</dcterms:created>
  <dcterms:modified xsi:type="dcterms:W3CDTF">2025-04-18T02:04:00Z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F775D62932864C278C047B79480467A5</vt:lpwstr>
  </property>
</Properties>
</file>